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A207" w14:textId="04120F79" w:rsidR="006E6E09" w:rsidRDefault="006E6E09">
      <w:r>
        <w:t xml:space="preserve"> </w:t>
      </w:r>
    </w:p>
    <w:p w14:paraId="0CA771E8" w14:textId="263DC87A" w:rsidR="006E6E09" w:rsidRDefault="006E6E09"/>
    <w:p w14:paraId="2B40A7B2" w14:textId="77777777" w:rsidR="00154B7E" w:rsidRDefault="00154B7E"/>
    <w:p w14:paraId="5FCD0589" w14:textId="05630D1F" w:rsidR="006E6E09" w:rsidRDefault="006E6E09" w:rsidP="006E6E09">
      <w:pPr>
        <w:jc w:val="center"/>
        <w:rPr>
          <w:b/>
          <w:bCs/>
          <w:sz w:val="32"/>
          <w:szCs w:val="32"/>
        </w:rPr>
      </w:pPr>
      <w:r w:rsidRPr="006E6E09">
        <w:rPr>
          <w:b/>
          <w:bCs/>
          <w:sz w:val="32"/>
          <w:szCs w:val="32"/>
        </w:rPr>
        <w:t>SZABÁLYZAT AZ ÜZLETI TITOK VÉDELMÉRŐL</w:t>
      </w:r>
    </w:p>
    <w:p w14:paraId="43FB19E8" w14:textId="131DA33D" w:rsidR="006E6E09" w:rsidRDefault="006E6E09" w:rsidP="006E6E09">
      <w:pPr>
        <w:jc w:val="center"/>
        <w:rPr>
          <w:b/>
          <w:bCs/>
          <w:sz w:val="32"/>
          <w:szCs w:val="32"/>
        </w:rPr>
      </w:pPr>
    </w:p>
    <w:p w14:paraId="730C1959" w14:textId="729EAD5E" w:rsidR="006E6E09" w:rsidRDefault="006E6E09" w:rsidP="00A81BB5">
      <w:pPr>
        <w:ind w:firstLine="708"/>
        <w:jc w:val="both"/>
      </w:pPr>
      <w:r w:rsidRPr="006E6E09">
        <w:t xml:space="preserve">Az Optimum </w:t>
      </w:r>
      <w:proofErr w:type="spellStart"/>
      <w:r w:rsidRPr="006E6E09">
        <w:t>Broker</w:t>
      </w:r>
      <w:proofErr w:type="spellEnd"/>
      <w:r w:rsidRPr="006E6E09">
        <w:t xml:space="preserve"> Biztosítási Alkusz Kft. (továbbiakban Optimum </w:t>
      </w:r>
      <w:proofErr w:type="spellStart"/>
      <w:r w:rsidRPr="006E6E09">
        <w:t>Br</w:t>
      </w:r>
      <w:r w:rsidR="00A81BB5">
        <w:t>o</w:t>
      </w:r>
      <w:r w:rsidRPr="006E6E09">
        <w:t>ker</w:t>
      </w:r>
      <w:proofErr w:type="spellEnd"/>
      <w:r w:rsidRPr="006E6E09">
        <w:t xml:space="preserve"> Kft. vagy Társaság)</w:t>
      </w:r>
      <w:r>
        <w:t xml:space="preserve"> </w:t>
      </w:r>
      <w:r w:rsidR="007423F5">
        <w:t xml:space="preserve">mint </w:t>
      </w:r>
      <w:r>
        <w:t>független biztosításközvetítő</w:t>
      </w:r>
      <w:r w:rsidR="007423F5">
        <w:t>, a</w:t>
      </w:r>
      <w:r>
        <w:t xml:space="preserve"> tevékenységével kapcsolatban, az üzleti titok védelme érdekében a 2013. évi V. </w:t>
      </w:r>
      <w:r w:rsidR="007423F5">
        <w:t>t</w:t>
      </w:r>
      <w:r>
        <w:t>örvény (Ptk.), a 2018. évi LIV. törvény (</w:t>
      </w:r>
      <w:proofErr w:type="spellStart"/>
      <w:r>
        <w:t>Üttv</w:t>
      </w:r>
      <w:proofErr w:type="spellEnd"/>
      <w:r w:rsidR="00B05045">
        <w:t>.</w:t>
      </w:r>
      <w:r>
        <w:t>)</w:t>
      </w:r>
      <w:r w:rsidR="00A81BB5">
        <w:t xml:space="preserve"> valamint a 2014. évi LXXXVIII. törvény (</w:t>
      </w:r>
      <w:proofErr w:type="spellStart"/>
      <w:r w:rsidR="00A81BB5">
        <w:t>Bit</w:t>
      </w:r>
      <w:r w:rsidR="00B05045">
        <w:t>v</w:t>
      </w:r>
      <w:proofErr w:type="spellEnd"/>
      <w:r w:rsidR="00B05045">
        <w:t>.</w:t>
      </w:r>
      <w:r w:rsidR="00A81BB5">
        <w:t>) rendelkezései alapján</w:t>
      </w:r>
      <w:r w:rsidR="007423F5">
        <w:t>,</w:t>
      </w:r>
      <w:r w:rsidR="00A81BB5">
        <w:t xml:space="preserve"> az alábbi szabályzatot </w:t>
      </w:r>
      <w:r w:rsidR="00B05045">
        <w:t>alkotja és annak használatát el</w:t>
      </w:r>
      <w:r w:rsidR="00A81BB5">
        <w:t>rendeli</w:t>
      </w:r>
      <w:r w:rsidR="00B05045">
        <w:t>.</w:t>
      </w:r>
    </w:p>
    <w:p w14:paraId="2D5E3C6D" w14:textId="77777777" w:rsidR="00A81BB5" w:rsidRDefault="00A81BB5" w:rsidP="00A81BB5">
      <w:pPr>
        <w:ind w:firstLine="708"/>
        <w:jc w:val="both"/>
      </w:pPr>
    </w:p>
    <w:p w14:paraId="762E2BCE" w14:textId="1340DBD2" w:rsidR="00A81BB5" w:rsidRDefault="00A81BB5" w:rsidP="00A81BB5">
      <w:pPr>
        <w:ind w:firstLine="708"/>
        <w:jc w:val="center"/>
        <w:rPr>
          <w:b/>
          <w:bCs/>
        </w:rPr>
      </w:pPr>
      <w:r w:rsidRPr="00A81BB5">
        <w:rPr>
          <w:b/>
          <w:bCs/>
        </w:rPr>
        <w:t>Az üzleti titok fogalma</w:t>
      </w:r>
    </w:p>
    <w:p w14:paraId="3A3DBFEF" w14:textId="6DF919F3" w:rsidR="00A81BB5" w:rsidRDefault="00A81BB5" w:rsidP="00A81BB5">
      <w:pPr>
        <w:ind w:firstLine="708"/>
        <w:jc w:val="center"/>
        <w:rPr>
          <w:b/>
          <w:bCs/>
        </w:rPr>
      </w:pPr>
    </w:p>
    <w:p w14:paraId="053A9784" w14:textId="77777777" w:rsidR="00AA4780" w:rsidRDefault="00A81BB5" w:rsidP="00AA4780">
      <w:pPr>
        <w:ind w:firstLine="708"/>
        <w:jc w:val="both"/>
      </w:pPr>
      <w:r w:rsidRPr="00A81BB5">
        <w:t>Az üzleti titok</w:t>
      </w:r>
      <w:r>
        <w:t xml:space="preserve"> a </w:t>
      </w:r>
      <w:r w:rsidR="00AA4780">
        <w:t xml:space="preserve">Társaság gazdasági tevékenységéhez kötődő minden nem közismert vagy a gazdasági tevékenységet végző személyek számára nem könnyen hozzáférhető olyan adat, tény, majd akár ezekből készült összeállítás, amelynek illetékteleneknek kezébe történő jutása vagy megszerzése, hasznosítása, esetleg másokkal való közlése vagy nyilvánosságra hozása a jogosultnak jogos személyi, gazdasági, piaci, vagy esetleg pénzügyi érdekét sértené vagy veszélyeztetné, feltételezvén, hogy a titok megőrzésével kapcsolatban a vele jogszerűen rendelkező jogosultat semmiféle felróhatóság nem terheli. </w:t>
      </w:r>
    </w:p>
    <w:p w14:paraId="25E27C32" w14:textId="1E294359" w:rsidR="00AA4780" w:rsidRDefault="00AA4780" w:rsidP="00AA4780">
      <w:pPr>
        <w:jc w:val="both"/>
      </w:pPr>
      <w:r>
        <w:t xml:space="preserve">Fentiek alapján a Társaság tevékenységével kapcsolatban üzleti titoknak minősül, </w:t>
      </w:r>
    </w:p>
    <w:p w14:paraId="6B4D24B8" w14:textId="77777777" w:rsidR="00AA4780" w:rsidRDefault="00AA4780" w:rsidP="00AA4780">
      <w:pPr>
        <w:pStyle w:val="Listaszerbekezds"/>
        <w:numPr>
          <w:ilvl w:val="0"/>
          <w:numId w:val="1"/>
        </w:numPr>
        <w:jc w:val="both"/>
      </w:pPr>
      <w:r>
        <w:t>az ügyfelek adatait tartalmazó adatbázis, cím és elérhetőségi lista,</w:t>
      </w:r>
    </w:p>
    <w:p w14:paraId="6F1FF6E0" w14:textId="77777777" w:rsidR="00AA3B00" w:rsidRDefault="00AA4780" w:rsidP="00AA3B00">
      <w:pPr>
        <w:pStyle w:val="Listaszerbekezds"/>
        <w:numPr>
          <w:ilvl w:val="0"/>
          <w:numId w:val="1"/>
        </w:numPr>
        <w:jc w:val="both"/>
      </w:pPr>
      <w:r>
        <w:t>az ügyfelek listája, adatai ügyfélkapcsolati adatai,</w:t>
      </w:r>
    </w:p>
    <w:p w14:paraId="09869ECF" w14:textId="384EE756" w:rsidR="00AA4780" w:rsidRDefault="00AA3B00" w:rsidP="00AA3B00">
      <w:pPr>
        <w:pStyle w:val="Listaszerbekezds"/>
        <w:numPr>
          <w:ilvl w:val="0"/>
          <w:numId w:val="1"/>
        </w:numPr>
        <w:jc w:val="both"/>
      </w:pPr>
      <w:r>
        <w:t>az ügyfélkapcsolati-, üzletszerzési-, ügyfélkapcsolat teremtési módszerek,</w:t>
      </w:r>
    </w:p>
    <w:p w14:paraId="460DA0BD" w14:textId="18C222B6" w:rsidR="00AA3B00" w:rsidRDefault="00AA3B00" w:rsidP="00AA3B00">
      <w:pPr>
        <w:pStyle w:val="Listaszerbekezds"/>
        <w:numPr>
          <w:ilvl w:val="0"/>
          <w:numId w:val="1"/>
        </w:numPr>
        <w:jc w:val="both"/>
      </w:pPr>
      <w:r>
        <w:t xml:space="preserve">a Társaság gazdálkodására vonatkozó minden olyan adat, </w:t>
      </w:r>
      <w:proofErr w:type="gramStart"/>
      <w:r>
        <w:t>tény,</w:t>
      </w:r>
      <w:proofErr w:type="gramEnd"/>
      <w:r>
        <w:t xml:space="preserve"> vagy információ, amely a hivatalosan letétbe helyezett éves beszámolóban vagy annak mellékleteiben, mint adat nem szerepel.</w:t>
      </w:r>
    </w:p>
    <w:p w14:paraId="036D1293" w14:textId="571500A2" w:rsidR="00AA3B00" w:rsidRDefault="00AA3B00" w:rsidP="00AA3B00">
      <w:pPr>
        <w:ind w:firstLine="708"/>
        <w:jc w:val="center"/>
        <w:rPr>
          <w:b/>
          <w:bCs/>
        </w:rPr>
      </w:pPr>
      <w:r w:rsidRPr="00AA3B00">
        <w:rPr>
          <w:b/>
          <w:bCs/>
        </w:rPr>
        <w:t>Titoktartási kötelezettség</w:t>
      </w:r>
    </w:p>
    <w:p w14:paraId="5BC61899" w14:textId="59AA85F0" w:rsidR="00AA3B00" w:rsidRDefault="00AA3B00" w:rsidP="00AA3B00">
      <w:pPr>
        <w:ind w:firstLine="708"/>
        <w:jc w:val="center"/>
        <w:rPr>
          <w:b/>
          <w:bCs/>
        </w:rPr>
      </w:pPr>
    </w:p>
    <w:p w14:paraId="7DE138A7" w14:textId="1FBD5AE2" w:rsidR="00AA3B00" w:rsidRDefault="00AA3B00" w:rsidP="00AA3B00">
      <w:r w:rsidRPr="00AA3B00">
        <w:t xml:space="preserve">A Társaság </w:t>
      </w:r>
      <w:r>
        <w:t xml:space="preserve">és tulajdonosai, a </w:t>
      </w:r>
      <w:proofErr w:type="spellStart"/>
      <w:r>
        <w:t>Társaságben</w:t>
      </w:r>
      <w:proofErr w:type="spellEnd"/>
      <w:r>
        <w:t xml:space="preserve"> részesedést szerezni kívánó személy vagy személyek, a vezető állású személy, egyéb vezető, a Társaság alkalmazottai, a Társasággal szerződésben álló megbízottak, üzletkötők, kötelesek a Társaság működésével kapcsolatban tudomásukra jutott üzleti titkot időbeli korlátozás nélkül megőrizni!</w:t>
      </w:r>
    </w:p>
    <w:p w14:paraId="3E544D05" w14:textId="4306667E" w:rsidR="00AA3B00" w:rsidRDefault="00AA3B00" w:rsidP="00AA3B00">
      <w:r>
        <w:t>A titoktartási kötelezettség nem áll fenn a feladatkörében hivatalosan eljáró</w:t>
      </w:r>
    </w:p>
    <w:p w14:paraId="41A4D35B" w14:textId="3E9375CF" w:rsidR="00AA4780" w:rsidRDefault="00AA3B00" w:rsidP="00AA4780">
      <w:pPr>
        <w:pStyle w:val="Listaszerbekezds"/>
        <w:numPr>
          <w:ilvl w:val="0"/>
          <w:numId w:val="1"/>
        </w:numPr>
        <w:jc w:val="both"/>
      </w:pPr>
      <w:r>
        <w:t>Felügyelettel (MNB)</w:t>
      </w:r>
    </w:p>
    <w:p w14:paraId="3A1B60F0" w14:textId="569A8C88" w:rsidR="00AA3B00" w:rsidRDefault="00AA3B00" w:rsidP="00AA4780">
      <w:pPr>
        <w:pStyle w:val="Listaszerbekezds"/>
        <w:numPr>
          <w:ilvl w:val="0"/>
          <w:numId w:val="1"/>
        </w:numPr>
        <w:jc w:val="both"/>
      </w:pPr>
      <w:r>
        <w:t xml:space="preserve">Nemzetbiztonsági </w:t>
      </w:r>
      <w:r w:rsidR="00056267">
        <w:t>Szaks</w:t>
      </w:r>
      <w:r>
        <w:t>zolgálatokkal,</w:t>
      </w:r>
    </w:p>
    <w:p w14:paraId="020E29C2" w14:textId="5C3A04FF" w:rsidR="00056267" w:rsidRDefault="00056267" w:rsidP="00AA4780">
      <w:pPr>
        <w:pStyle w:val="Listaszerbekezds"/>
        <w:numPr>
          <w:ilvl w:val="0"/>
          <w:numId w:val="1"/>
        </w:numPr>
        <w:jc w:val="both"/>
      </w:pPr>
      <w:r>
        <w:t>Állami Számvevőszékkel,</w:t>
      </w:r>
    </w:p>
    <w:p w14:paraId="38DE9111" w14:textId="3CEABE66" w:rsidR="00056267" w:rsidRDefault="00056267" w:rsidP="00AA4780">
      <w:pPr>
        <w:pStyle w:val="Listaszerbekezds"/>
        <w:numPr>
          <w:ilvl w:val="0"/>
          <w:numId w:val="1"/>
        </w:numPr>
        <w:jc w:val="both"/>
      </w:pPr>
      <w:r>
        <w:t>Gazdasági Versenyhivatallal,</w:t>
      </w:r>
    </w:p>
    <w:p w14:paraId="14972D8B" w14:textId="59D014C1" w:rsidR="00056267" w:rsidRDefault="00056267" w:rsidP="00AA4780">
      <w:pPr>
        <w:pStyle w:val="Listaszerbekezds"/>
        <w:numPr>
          <w:ilvl w:val="0"/>
          <w:numId w:val="1"/>
        </w:numPr>
        <w:jc w:val="both"/>
      </w:pPr>
      <w:r>
        <w:t>Vagyonellenőrrel,</w:t>
      </w:r>
    </w:p>
    <w:p w14:paraId="1EB916FE" w14:textId="47D9DBF3" w:rsidR="00D6177E" w:rsidRDefault="00D6177E" w:rsidP="00D6177E">
      <w:pPr>
        <w:jc w:val="both"/>
      </w:pPr>
    </w:p>
    <w:p w14:paraId="0BD7D30C" w14:textId="71C817B2" w:rsidR="00D6177E" w:rsidRDefault="00D6177E" w:rsidP="00D6177E">
      <w:pPr>
        <w:jc w:val="both"/>
      </w:pPr>
    </w:p>
    <w:p w14:paraId="24420B8A" w14:textId="77777777" w:rsidR="00D6177E" w:rsidRDefault="00D6177E" w:rsidP="00D6177E">
      <w:pPr>
        <w:jc w:val="both"/>
      </w:pPr>
    </w:p>
    <w:p w14:paraId="35FF061A" w14:textId="210FB413" w:rsidR="00056267" w:rsidRDefault="00056267" w:rsidP="00AA4780">
      <w:pPr>
        <w:pStyle w:val="Listaszerbekezds"/>
        <w:numPr>
          <w:ilvl w:val="0"/>
          <w:numId w:val="1"/>
        </w:numPr>
        <w:jc w:val="both"/>
      </w:pPr>
      <w:r>
        <w:t>a központi költségvetési pénzeszközök felhasználását ellenőrző és kijelölt ellenőrző szervezettel,</w:t>
      </w:r>
    </w:p>
    <w:p w14:paraId="3EA79452" w14:textId="790E5018" w:rsidR="00056267" w:rsidRDefault="00056267" w:rsidP="00056267">
      <w:pPr>
        <w:pStyle w:val="Listaszerbekezds"/>
        <w:ind w:left="0"/>
        <w:jc w:val="both"/>
      </w:pPr>
    </w:p>
    <w:p w14:paraId="35239418" w14:textId="3388F968" w:rsidR="00056267" w:rsidRDefault="00056267" w:rsidP="00056267">
      <w:pPr>
        <w:pStyle w:val="Listaszerbekezds"/>
        <w:ind w:left="0"/>
        <w:jc w:val="both"/>
      </w:pPr>
      <w:r>
        <w:t>Nem jelent üzleti titok megszegésének sérelmét a Társaság által, a NAV felé történő adatszolgáltatás.</w:t>
      </w:r>
    </w:p>
    <w:p w14:paraId="28D4E4C6" w14:textId="0A59392E" w:rsidR="00056267" w:rsidRDefault="00056267" w:rsidP="00056267">
      <w:pPr>
        <w:pStyle w:val="Listaszerbekezds"/>
        <w:ind w:left="0"/>
        <w:jc w:val="both"/>
      </w:pPr>
    </w:p>
    <w:p w14:paraId="1BF3447F" w14:textId="5F29C231" w:rsidR="00056267" w:rsidRDefault="00056267" w:rsidP="00056267">
      <w:pPr>
        <w:pStyle w:val="Listaszerbekezds"/>
        <w:ind w:left="0"/>
        <w:jc w:val="both"/>
      </w:pPr>
      <w:r>
        <w:t>A titoktartási kötelezettség nem áll fenn</w:t>
      </w:r>
    </w:p>
    <w:p w14:paraId="600BC3FD" w14:textId="1A171A56" w:rsidR="00056267" w:rsidRDefault="00056267" w:rsidP="00056267">
      <w:pPr>
        <w:pStyle w:val="Listaszerbekezds"/>
        <w:numPr>
          <w:ilvl w:val="0"/>
          <w:numId w:val="2"/>
        </w:numPr>
        <w:jc w:val="both"/>
      </w:pPr>
      <w:r>
        <w:t>a bűnügyi nyomozás elrendelését követően a nyomozó hatóság és ügyészség felé,</w:t>
      </w:r>
    </w:p>
    <w:p w14:paraId="035A178F" w14:textId="372CD727" w:rsidR="00056267" w:rsidRDefault="00056267" w:rsidP="00056267">
      <w:pPr>
        <w:pStyle w:val="Listaszerbekezds"/>
        <w:numPr>
          <w:ilvl w:val="0"/>
          <w:numId w:val="2"/>
        </w:numPr>
        <w:jc w:val="both"/>
      </w:pPr>
      <w:r>
        <w:t xml:space="preserve">bűntetőügyben, polgári peres eljárás, bírósági felülvizsgálat </w:t>
      </w:r>
      <w:r w:rsidR="00D61789">
        <w:t xml:space="preserve">során, bírósági ügyben, bírósági szakértővel szemben, végrehajtási eljárás során bírósági végrehajtóval szemben, </w:t>
      </w:r>
    </w:p>
    <w:p w14:paraId="1D0D6C83" w14:textId="77777777" w:rsidR="00D61789" w:rsidRDefault="00D61789" w:rsidP="00D61789">
      <w:pPr>
        <w:jc w:val="both"/>
      </w:pPr>
      <w:r>
        <w:t xml:space="preserve">A titoktartási kötelezettség alapján az üzleti titok körébe tartozó adat, tény, tájékoztatás a </w:t>
      </w:r>
      <w:proofErr w:type="spellStart"/>
      <w:r>
        <w:t>Bitv</w:t>
      </w:r>
      <w:proofErr w:type="spellEnd"/>
      <w:r>
        <w:t xml:space="preserve">. alapján meghatározott körön kívül, az ügyfél és a Társaság felhatalmazása nélkül nem adható ki más személy részére és az a faladatkörén kívül nem használható fel. </w:t>
      </w:r>
    </w:p>
    <w:p w14:paraId="4E46BDDF" w14:textId="08E975A6" w:rsidR="00D61789" w:rsidRDefault="00D61789" w:rsidP="00D61789">
      <w:pPr>
        <w:jc w:val="both"/>
      </w:pPr>
      <w:r>
        <w:t>Aki üzleti titok birtokába jut, azt nem használhatja fel, hogy azzal bármilyen módon akárkinek előnyt szerezzen, vagy a Társaság vagy annak ügyfele/i részére bármilyen módon hátrányt okozzon.</w:t>
      </w:r>
    </w:p>
    <w:p w14:paraId="0800936F" w14:textId="63BBE85D" w:rsidR="00D6177E" w:rsidRDefault="00D6177E" w:rsidP="00D6177E">
      <w:r>
        <w:t>Aki üzleti titok birtokába jut, az az üzleti titkot köteles időbeli korlátozás nélkül megőrizni!</w:t>
      </w:r>
    </w:p>
    <w:p w14:paraId="3ACE1752" w14:textId="0F616EF9" w:rsidR="00D6177E" w:rsidRDefault="00D6177E" w:rsidP="00D6177E"/>
    <w:p w14:paraId="27EAF331" w14:textId="373D7504" w:rsidR="00D6177E" w:rsidRDefault="00D6177E" w:rsidP="00D6177E">
      <w:r>
        <w:t>Ez a szabályzat 2020.09.01-én lép hatályba.</w:t>
      </w:r>
    </w:p>
    <w:p w14:paraId="4BBEDA84" w14:textId="73D1DF67" w:rsidR="00D6177E" w:rsidRDefault="00D6177E" w:rsidP="00D6177E"/>
    <w:p w14:paraId="5574705F" w14:textId="473B318E" w:rsidR="00D6177E" w:rsidRDefault="00D6177E" w:rsidP="00D6177E">
      <w:r>
        <w:t>Kelt Budapesten, 2020. 08. 15. napján</w:t>
      </w:r>
    </w:p>
    <w:p w14:paraId="3CFF7146" w14:textId="77777777" w:rsidR="00D6177E" w:rsidRDefault="00D6177E" w:rsidP="00D6177E"/>
    <w:p w14:paraId="4D676B54" w14:textId="7C90CB31" w:rsidR="00A81BB5" w:rsidRPr="006E6E09" w:rsidRDefault="00D6177E" w:rsidP="00D6177E">
      <w:pPr>
        <w:ind w:firstLine="708"/>
        <w:jc w:val="center"/>
      </w:pPr>
      <w:r>
        <w:t xml:space="preserve">a Társaság ügyvezetője </w:t>
      </w:r>
      <w:proofErr w:type="spellStart"/>
      <w:r>
        <w:t>sk</w:t>
      </w:r>
      <w:proofErr w:type="spellEnd"/>
      <w:r>
        <w:t>.</w:t>
      </w:r>
    </w:p>
    <w:sectPr w:rsidR="00A81BB5" w:rsidRPr="006E6E0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FEF4D" w14:textId="77777777" w:rsidR="00154B7E" w:rsidRDefault="00154B7E" w:rsidP="00154B7E">
      <w:pPr>
        <w:spacing w:after="0" w:line="240" w:lineRule="auto"/>
      </w:pPr>
      <w:r>
        <w:separator/>
      </w:r>
    </w:p>
  </w:endnote>
  <w:endnote w:type="continuationSeparator" w:id="0">
    <w:p w14:paraId="72D194FF" w14:textId="77777777" w:rsidR="00154B7E" w:rsidRDefault="00154B7E" w:rsidP="0015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EC8A" w14:textId="77777777" w:rsidR="00D6177E" w:rsidRPr="00D6177E" w:rsidRDefault="00D6177E">
    <w:pPr>
      <w:pStyle w:val="llb"/>
      <w:jc w:val="center"/>
      <w:rPr>
        <w:color w:val="000000" w:themeColor="text1"/>
        <w:sz w:val="18"/>
        <w:szCs w:val="18"/>
      </w:rPr>
    </w:pPr>
    <w:r w:rsidRPr="00D6177E">
      <w:rPr>
        <w:color w:val="000000" w:themeColor="text1"/>
        <w:sz w:val="18"/>
        <w:szCs w:val="18"/>
      </w:rPr>
      <w:t xml:space="preserve">Oldal </w:t>
    </w:r>
    <w:r w:rsidRPr="00D6177E">
      <w:rPr>
        <w:color w:val="000000" w:themeColor="text1"/>
        <w:sz w:val="18"/>
        <w:szCs w:val="18"/>
      </w:rPr>
      <w:fldChar w:fldCharType="begin"/>
    </w:r>
    <w:r w:rsidRPr="00D6177E">
      <w:rPr>
        <w:color w:val="000000" w:themeColor="text1"/>
        <w:sz w:val="18"/>
        <w:szCs w:val="18"/>
      </w:rPr>
      <w:instrText>PAGE  \* Arabic  \* MERGEFORMAT</w:instrText>
    </w:r>
    <w:r w:rsidRPr="00D6177E">
      <w:rPr>
        <w:color w:val="000000" w:themeColor="text1"/>
        <w:sz w:val="18"/>
        <w:szCs w:val="18"/>
      </w:rPr>
      <w:fldChar w:fldCharType="separate"/>
    </w:r>
    <w:r w:rsidRPr="00D6177E">
      <w:rPr>
        <w:color w:val="000000" w:themeColor="text1"/>
        <w:sz w:val="18"/>
        <w:szCs w:val="18"/>
      </w:rPr>
      <w:t>2</w:t>
    </w:r>
    <w:r w:rsidRPr="00D6177E">
      <w:rPr>
        <w:color w:val="000000" w:themeColor="text1"/>
        <w:sz w:val="18"/>
        <w:szCs w:val="18"/>
      </w:rPr>
      <w:fldChar w:fldCharType="end"/>
    </w:r>
    <w:r w:rsidRPr="00D6177E">
      <w:rPr>
        <w:color w:val="000000" w:themeColor="text1"/>
        <w:sz w:val="18"/>
        <w:szCs w:val="18"/>
      </w:rPr>
      <w:t xml:space="preserve"> / </w:t>
    </w:r>
    <w:r w:rsidRPr="00D6177E">
      <w:rPr>
        <w:color w:val="000000" w:themeColor="text1"/>
        <w:sz w:val="18"/>
        <w:szCs w:val="18"/>
      </w:rPr>
      <w:fldChar w:fldCharType="begin"/>
    </w:r>
    <w:r w:rsidRPr="00D6177E">
      <w:rPr>
        <w:color w:val="000000" w:themeColor="text1"/>
        <w:sz w:val="18"/>
        <w:szCs w:val="18"/>
      </w:rPr>
      <w:instrText>NUMPAGES  \* Arabic  \* MERGEFORMAT</w:instrText>
    </w:r>
    <w:r w:rsidRPr="00D6177E">
      <w:rPr>
        <w:color w:val="000000" w:themeColor="text1"/>
        <w:sz w:val="18"/>
        <w:szCs w:val="18"/>
      </w:rPr>
      <w:fldChar w:fldCharType="separate"/>
    </w:r>
    <w:r w:rsidRPr="00D6177E">
      <w:rPr>
        <w:color w:val="000000" w:themeColor="text1"/>
        <w:sz w:val="18"/>
        <w:szCs w:val="18"/>
      </w:rPr>
      <w:t>2</w:t>
    </w:r>
    <w:r w:rsidRPr="00D6177E">
      <w:rPr>
        <w:color w:val="000000" w:themeColor="text1"/>
        <w:sz w:val="18"/>
        <w:szCs w:val="18"/>
      </w:rPr>
      <w:fldChar w:fldCharType="end"/>
    </w:r>
  </w:p>
  <w:p w14:paraId="7043B71E" w14:textId="77777777" w:rsidR="00D6177E" w:rsidRDefault="00D617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EF0A" w14:textId="77777777" w:rsidR="00154B7E" w:rsidRDefault="00154B7E" w:rsidP="00154B7E">
      <w:pPr>
        <w:spacing w:after="0" w:line="240" w:lineRule="auto"/>
      </w:pPr>
      <w:r>
        <w:separator/>
      </w:r>
    </w:p>
  </w:footnote>
  <w:footnote w:type="continuationSeparator" w:id="0">
    <w:p w14:paraId="73DDF97B" w14:textId="77777777" w:rsidR="00154B7E" w:rsidRDefault="00154B7E" w:rsidP="0015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025B" w14:textId="137DD827" w:rsidR="00154B7E" w:rsidRDefault="00154B7E">
    <w:pPr>
      <w:pStyle w:val="lfej"/>
    </w:pPr>
  </w:p>
  <w:p w14:paraId="7D55314F" w14:textId="41408195" w:rsidR="00154B7E" w:rsidRDefault="00D2380E" w:rsidP="00154B7E">
    <w:pPr>
      <w:pStyle w:val="lfej"/>
      <w:jc w:val="right"/>
    </w:pPr>
    <w:r w:rsidRPr="008A7C09">
      <w:rPr>
        <w:noProof/>
      </w:rPr>
      <w:drawing>
        <wp:inline distT="0" distB="0" distL="0" distR="0" wp14:anchorId="60658FC4" wp14:editId="33492D64">
          <wp:extent cx="1293259" cy="333375"/>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70" cy="341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A1F76"/>
    <w:multiLevelType w:val="hybridMultilevel"/>
    <w:tmpl w:val="591A99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5563CB7"/>
    <w:multiLevelType w:val="hybridMultilevel"/>
    <w:tmpl w:val="92A42A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09"/>
    <w:rsid w:val="00033713"/>
    <w:rsid w:val="00056267"/>
    <w:rsid w:val="00154B7E"/>
    <w:rsid w:val="006E6E09"/>
    <w:rsid w:val="007423F5"/>
    <w:rsid w:val="00A81BB5"/>
    <w:rsid w:val="00AA3B00"/>
    <w:rsid w:val="00AA4780"/>
    <w:rsid w:val="00B05045"/>
    <w:rsid w:val="00D2380E"/>
    <w:rsid w:val="00D44A0A"/>
    <w:rsid w:val="00D6177E"/>
    <w:rsid w:val="00D61789"/>
    <w:rsid w:val="00E154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6098"/>
  <w15:chartTrackingRefBased/>
  <w15:docId w15:val="{9EBA8B58-FB3B-454D-9185-A676FA46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54B7E"/>
    <w:pPr>
      <w:tabs>
        <w:tab w:val="center" w:pos="4536"/>
        <w:tab w:val="right" w:pos="9072"/>
      </w:tabs>
      <w:spacing w:after="0" w:line="240" w:lineRule="auto"/>
    </w:pPr>
  </w:style>
  <w:style w:type="character" w:customStyle="1" w:styleId="lfejChar">
    <w:name w:val="Élőfej Char"/>
    <w:basedOn w:val="Bekezdsalapbettpusa"/>
    <w:link w:val="lfej"/>
    <w:uiPriority w:val="99"/>
    <w:rsid w:val="00154B7E"/>
  </w:style>
  <w:style w:type="paragraph" w:styleId="llb">
    <w:name w:val="footer"/>
    <w:basedOn w:val="Norml"/>
    <w:link w:val="llbChar"/>
    <w:uiPriority w:val="99"/>
    <w:unhideWhenUsed/>
    <w:rsid w:val="00154B7E"/>
    <w:pPr>
      <w:tabs>
        <w:tab w:val="center" w:pos="4536"/>
        <w:tab w:val="right" w:pos="9072"/>
      </w:tabs>
      <w:spacing w:after="0" w:line="240" w:lineRule="auto"/>
    </w:pPr>
  </w:style>
  <w:style w:type="character" w:customStyle="1" w:styleId="llbChar">
    <w:name w:val="Élőláb Char"/>
    <w:basedOn w:val="Bekezdsalapbettpusa"/>
    <w:link w:val="llb"/>
    <w:uiPriority w:val="99"/>
    <w:rsid w:val="00154B7E"/>
  </w:style>
  <w:style w:type="paragraph" w:styleId="Listaszerbekezds">
    <w:name w:val="List Paragraph"/>
    <w:basedOn w:val="Norml"/>
    <w:uiPriority w:val="34"/>
    <w:qFormat/>
    <w:rsid w:val="00AA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2841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2020-08-17T14:58:00Z</cp:lastPrinted>
  <dcterms:created xsi:type="dcterms:W3CDTF">2020-08-15T19:20:00Z</dcterms:created>
  <dcterms:modified xsi:type="dcterms:W3CDTF">2020-08-17T14:58:00Z</dcterms:modified>
</cp:coreProperties>
</file>